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pacing w:line="600" w:lineRule="exact"/>
        <w:ind w:left="-298" w:leftChars="-93"/>
        <w:rPr>
          <w:rFonts w:hint="eastAsia" w:ascii="黑体" w:eastAsia="黑体"/>
          <w:szCs w:val="32"/>
        </w:rPr>
      </w:pPr>
      <w:r>
        <w:rPr>
          <w:rFonts w:hint="eastAsia" w:ascii="黑体" w:eastAsia="黑体"/>
          <w:szCs w:val="32"/>
        </w:rPr>
        <w:t>附件3</w:t>
      </w:r>
    </w:p>
    <w:p>
      <w:pPr>
        <w:autoSpaceDN w:val="0"/>
        <w:spacing w:line="600" w:lineRule="exact"/>
        <w:rPr>
          <w:rFonts w:hint="eastAsia" w:ascii="黑体" w:eastAsia="黑体"/>
          <w:szCs w:val="32"/>
        </w:rPr>
      </w:pPr>
    </w:p>
    <w:p>
      <w:pPr>
        <w:spacing w:line="600" w:lineRule="exact"/>
        <w:jc w:val="center"/>
        <w:rPr>
          <w:rFonts w:hint="eastAsia" w:ascii="方正小标宋简体" w:eastAsia="方正小标宋简体" w:cs="宋体"/>
          <w:kern w:val="0"/>
          <w:sz w:val="44"/>
          <w:szCs w:val="44"/>
        </w:rPr>
      </w:pPr>
      <w:r>
        <w:rPr>
          <w:rFonts w:hint="eastAsia" w:ascii="方正小标宋简体" w:eastAsia="方正小标宋简体" w:cs="宋体"/>
          <w:kern w:val="0"/>
          <w:sz w:val="44"/>
          <w:szCs w:val="44"/>
        </w:rPr>
        <w:t>2023年度福建省文艺发展专项资金</w:t>
      </w:r>
    </w:p>
    <w:p>
      <w:pPr>
        <w:spacing w:line="600" w:lineRule="exact"/>
        <w:jc w:val="center"/>
        <w:rPr>
          <w:rFonts w:hint="eastAsia" w:ascii="方正小标宋简体" w:eastAsia="方正小标宋简体" w:cs="宋体"/>
          <w:kern w:val="0"/>
          <w:sz w:val="44"/>
          <w:szCs w:val="44"/>
        </w:rPr>
      </w:pPr>
      <w:r>
        <w:rPr>
          <w:rFonts w:hint="eastAsia" w:ascii="方正小标宋简体" w:eastAsia="方正小标宋简体" w:cs="宋体"/>
          <w:kern w:val="0"/>
          <w:sz w:val="44"/>
          <w:szCs w:val="44"/>
        </w:rPr>
        <w:t>申报补助项目</w:t>
      </w:r>
      <w:r>
        <w:rPr>
          <w:rFonts w:hint="eastAsia" w:ascii="方正小标宋简体" w:eastAsia="方正小标宋简体"/>
          <w:sz w:val="44"/>
          <w:szCs w:val="44"/>
        </w:rPr>
        <w:t>绩效目标表</w:t>
      </w:r>
    </w:p>
    <w:p>
      <w:pPr>
        <w:autoSpaceDN w:val="0"/>
        <w:spacing w:line="600" w:lineRule="exact"/>
        <w:rPr>
          <w:rFonts w:hint="eastAsia" w:ascii="黑体" w:eastAsia="黑体"/>
          <w:szCs w:val="32"/>
        </w:rPr>
      </w:pPr>
    </w:p>
    <w:tbl>
      <w:tblPr>
        <w:tblStyle w:val="2"/>
        <w:tblW w:w="0" w:type="auto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7"/>
        <w:gridCol w:w="793"/>
        <w:gridCol w:w="791"/>
        <w:gridCol w:w="949"/>
        <w:gridCol w:w="1908"/>
        <w:gridCol w:w="2219"/>
        <w:gridCol w:w="636"/>
        <w:gridCol w:w="9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15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eastAsia="黑体"/>
                <w:color w:val="000000"/>
                <w:sz w:val="21"/>
                <w:szCs w:val="21"/>
              </w:rPr>
              <w:t>项目名称</w:t>
            </w:r>
          </w:p>
        </w:tc>
        <w:tc>
          <w:tcPr>
            <w:tcW w:w="8198" w:type="dxa"/>
            <w:gridSpan w:val="7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15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eastAsia="黑体"/>
                <w:color w:val="000000"/>
                <w:sz w:val="21"/>
                <w:szCs w:val="21"/>
              </w:rPr>
              <w:t>项目单位</w:t>
            </w:r>
          </w:p>
          <w:p>
            <w:pPr>
              <w:spacing w:line="240" w:lineRule="exact"/>
              <w:jc w:val="center"/>
              <w:rPr>
                <w:rFonts w:hint="eastAsia" w:asci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eastAsia="黑体"/>
                <w:color w:val="000000"/>
                <w:sz w:val="21"/>
                <w:szCs w:val="21"/>
              </w:rPr>
              <w:t>（盖章）</w:t>
            </w:r>
          </w:p>
        </w:tc>
        <w:tc>
          <w:tcPr>
            <w:tcW w:w="8198" w:type="dxa"/>
            <w:gridSpan w:val="7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157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eastAsia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eastAsia="黑体"/>
                <w:color w:val="000000"/>
                <w:sz w:val="21"/>
                <w:szCs w:val="21"/>
              </w:rPr>
              <w:t>资金情况</w:t>
            </w:r>
          </w:p>
          <w:p>
            <w:pPr>
              <w:spacing w:line="240" w:lineRule="exact"/>
              <w:jc w:val="center"/>
              <w:rPr>
                <w:rFonts w:hint="eastAsia" w:asci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eastAsia="黑体"/>
                <w:color w:val="000000"/>
                <w:sz w:val="21"/>
                <w:szCs w:val="21"/>
              </w:rPr>
              <w:t>（万元）</w:t>
            </w:r>
          </w:p>
        </w:tc>
        <w:tc>
          <w:tcPr>
            <w:tcW w:w="2533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cs="宋体"/>
                <w:kern w:val="0"/>
                <w:sz w:val="21"/>
                <w:szCs w:val="21"/>
              </w:rPr>
              <w:t>资金总额：</w:t>
            </w:r>
          </w:p>
        </w:tc>
        <w:tc>
          <w:tcPr>
            <w:tcW w:w="5665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157" w:type="dxa"/>
            <w:vMerge w:val="continue"/>
            <w:noWrap w:val="0"/>
            <w:vAlign w:val="center"/>
          </w:tcPr>
          <w:p/>
        </w:tc>
        <w:tc>
          <w:tcPr>
            <w:tcW w:w="2533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cs="宋体"/>
                <w:kern w:val="0"/>
                <w:sz w:val="21"/>
                <w:szCs w:val="21"/>
              </w:rPr>
              <w:t>其中：申请财政拨款</w:t>
            </w:r>
          </w:p>
        </w:tc>
        <w:tc>
          <w:tcPr>
            <w:tcW w:w="5665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157" w:type="dxa"/>
            <w:vMerge w:val="continue"/>
            <w:noWrap w:val="0"/>
            <w:vAlign w:val="center"/>
          </w:tcPr>
          <w:p/>
        </w:tc>
        <w:tc>
          <w:tcPr>
            <w:tcW w:w="2533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cs="宋体"/>
                <w:kern w:val="0"/>
                <w:sz w:val="21"/>
                <w:szCs w:val="21"/>
              </w:rPr>
              <w:t>其他资金</w:t>
            </w:r>
          </w:p>
        </w:tc>
        <w:tc>
          <w:tcPr>
            <w:tcW w:w="5665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115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eastAsia="黑体"/>
                <w:color w:val="000000"/>
                <w:sz w:val="21"/>
                <w:szCs w:val="21"/>
              </w:rPr>
              <w:t>项目计划</w:t>
            </w:r>
          </w:p>
        </w:tc>
        <w:tc>
          <w:tcPr>
            <w:tcW w:w="8198" w:type="dxa"/>
            <w:gridSpan w:val="7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cs="宋体"/>
                <w:kern w:val="0"/>
                <w:sz w:val="21"/>
                <w:szCs w:val="21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157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eastAsia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eastAsia="黑体"/>
                <w:color w:val="000000"/>
                <w:sz w:val="21"/>
                <w:szCs w:val="21"/>
              </w:rPr>
              <w:t>绩</w:t>
            </w:r>
          </w:p>
          <w:p>
            <w:pPr>
              <w:spacing w:line="240" w:lineRule="exact"/>
              <w:jc w:val="center"/>
              <w:rPr>
                <w:rFonts w:hint="eastAsia" w:ascii="黑体" w:eastAsia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eastAsia="黑体"/>
                <w:color w:val="000000"/>
                <w:sz w:val="21"/>
                <w:szCs w:val="21"/>
              </w:rPr>
              <w:t>效</w:t>
            </w:r>
          </w:p>
          <w:p>
            <w:pPr>
              <w:spacing w:line="240" w:lineRule="exact"/>
              <w:jc w:val="center"/>
              <w:rPr>
                <w:rFonts w:hint="eastAsia" w:ascii="黑体" w:eastAsia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eastAsia="黑体"/>
                <w:color w:val="000000"/>
                <w:sz w:val="21"/>
                <w:szCs w:val="21"/>
              </w:rPr>
              <w:t>指</w:t>
            </w:r>
          </w:p>
          <w:p>
            <w:pPr>
              <w:spacing w:line="240" w:lineRule="exact"/>
              <w:jc w:val="center"/>
              <w:rPr>
                <w:rFonts w:hint="eastAsia" w:asci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eastAsia="黑体"/>
                <w:color w:val="000000"/>
                <w:sz w:val="21"/>
                <w:szCs w:val="21"/>
              </w:rPr>
              <w:t>标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eastAsia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eastAsia="黑体"/>
                <w:color w:val="000000"/>
                <w:sz w:val="21"/>
                <w:szCs w:val="21"/>
              </w:rPr>
              <w:t>一级</w:t>
            </w:r>
          </w:p>
          <w:p>
            <w:pPr>
              <w:spacing w:line="240" w:lineRule="exact"/>
              <w:jc w:val="center"/>
              <w:rPr>
                <w:rFonts w:hint="eastAsia" w:asci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eastAsia="黑体"/>
                <w:color w:val="000000"/>
                <w:sz w:val="21"/>
                <w:szCs w:val="21"/>
              </w:rPr>
              <w:t>指标</w:t>
            </w:r>
          </w:p>
        </w:tc>
        <w:tc>
          <w:tcPr>
            <w:tcW w:w="79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eastAsia="黑体"/>
                <w:color w:val="000000"/>
                <w:sz w:val="21"/>
                <w:szCs w:val="21"/>
              </w:rPr>
              <w:t>二级              指标</w:t>
            </w:r>
          </w:p>
        </w:tc>
        <w:tc>
          <w:tcPr>
            <w:tcW w:w="285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eastAsia="黑体"/>
                <w:color w:val="000000"/>
                <w:sz w:val="21"/>
                <w:szCs w:val="21"/>
              </w:rPr>
              <w:t>三级指标</w:t>
            </w:r>
          </w:p>
        </w:tc>
        <w:tc>
          <w:tcPr>
            <w:tcW w:w="221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eastAsia="黑体"/>
                <w:color w:val="000000"/>
                <w:sz w:val="21"/>
                <w:szCs w:val="21"/>
              </w:rPr>
              <w:t>指标解释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eastAsia="黑体"/>
                <w:color w:val="000000"/>
                <w:sz w:val="21"/>
                <w:szCs w:val="21"/>
              </w:rPr>
              <w:t>单位</w:t>
            </w:r>
          </w:p>
        </w:tc>
        <w:tc>
          <w:tcPr>
            <w:tcW w:w="90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eastAsia="黑体"/>
                <w:color w:val="000000"/>
                <w:sz w:val="21"/>
                <w:szCs w:val="21"/>
              </w:rPr>
              <w:t>区域</w:t>
            </w:r>
          </w:p>
          <w:p>
            <w:pPr>
              <w:spacing w:line="240" w:lineRule="exact"/>
              <w:jc w:val="center"/>
              <w:rPr>
                <w:rFonts w:hint="eastAsia" w:asci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eastAsia="黑体"/>
                <w:color w:val="000000"/>
                <w:sz w:val="21"/>
                <w:szCs w:val="21"/>
              </w:rPr>
              <w:t>目标值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157" w:type="dxa"/>
            <w:vMerge w:val="continue"/>
            <w:noWrap w:val="0"/>
            <w:vAlign w:val="center"/>
          </w:tcPr>
          <w:p/>
        </w:tc>
        <w:tc>
          <w:tcPr>
            <w:tcW w:w="793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eastAsia="黑体"/>
                <w:color w:val="000000"/>
                <w:sz w:val="21"/>
                <w:szCs w:val="21"/>
              </w:rPr>
              <w:t>产出指标</w:t>
            </w:r>
          </w:p>
        </w:tc>
        <w:tc>
          <w:tcPr>
            <w:tcW w:w="791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eastAsia="黑体"/>
                <w:color w:val="000000"/>
                <w:sz w:val="21"/>
                <w:szCs w:val="21"/>
              </w:rPr>
              <w:t>数量           指标</w:t>
            </w:r>
          </w:p>
        </w:tc>
        <w:tc>
          <w:tcPr>
            <w:tcW w:w="2857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cs="宋体"/>
                <w:kern w:val="0"/>
                <w:sz w:val="21"/>
                <w:szCs w:val="21"/>
              </w:rPr>
              <w:t>文学创作、研究、出版等成果创作完成并出版</w:t>
            </w:r>
          </w:p>
        </w:tc>
        <w:tc>
          <w:tcPr>
            <w:tcW w:w="2219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cs="宋体"/>
                <w:kern w:val="0"/>
                <w:sz w:val="21"/>
                <w:szCs w:val="21"/>
              </w:rPr>
              <w:t>反映了文学创作、理论研究、图书出版等文艺创作的实施情况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cs="宋体"/>
                <w:kern w:val="0"/>
                <w:sz w:val="21"/>
                <w:szCs w:val="21"/>
              </w:rPr>
              <w:t>种类</w:t>
            </w:r>
          </w:p>
        </w:tc>
        <w:tc>
          <w:tcPr>
            <w:tcW w:w="90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157" w:type="dxa"/>
            <w:vMerge w:val="continue"/>
            <w:noWrap w:val="0"/>
            <w:vAlign w:val="center"/>
          </w:tcPr>
          <w:p/>
        </w:tc>
        <w:tc>
          <w:tcPr>
            <w:tcW w:w="793" w:type="dxa"/>
            <w:vMerge w:val="continue"/>
            <w:noWrap w:val="0"/>
            <w:vAlign w:val="center"/>
          </w:tcPr>
          <w:p/>
        </w:tc>
        <w:tc>
          <w:tcPr>
            <w:tcW w:w="791" w:type="dxa"/>
            <w:vMerge w:val="continue"/>
            <w:noWrap w:val="0"/>
            <w:vAlign w:val="center"/>
          </w:tcPr>
          <w:p/>
        </w:tc>
        <w:tc>
          <w:tcPr>
            <w:tcW w:w="2857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cs="宋体"/>
                <w:kern w:val="0"/>
                <w:sz w:val="21"/>
                <w:szCs w:val="21"/>
              </w:rPr>
              <w:t>召开专家论证会、座谈会次数</w:t>
            </w:r>
          </w:p>
        </w:tc>
        <w:tc>
          <w:tcPr>
            <w:tcW w:w="2219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cs="宋体"/>
                <w:kern w:val="0"/>
                <w:sz w:val="21"/>
                <w:szCs w:val="21"/>
              </w:rPr>
              <w:t>反映了各类别文艺创作的打磨提升情况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cs="宋体"/>
                <w:kern w:val="0"/>
                <w:sz w:val="21"/>
                <w:szCs w:val="21"/>
              </w:rPr>
              <w:t>场</w:t>
            </w:r>
          </w:p>
        </w:tc>
        <w:tc>
          <w:tcPr>
            <w:tcW w:w="90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157" w:type="dxa"/>
            <w:vMerge w:val="continue"/>
            <w:noWrap w:val="0"/>
            <w:vAlign w:val="center"/>
          </w:tcPr>
          <w:p/>
        </w:tc>
        <w:tc>
          <w:tcPr>
            <w:tcW w:w="793" w:type="dxa"/>
            <w:vMerge w:val="continue"/>
            <w:noWrap w:val="0"/>
            <w:vAlign w:val="center"/>
          </w:tcPr>
          <w:p/>
        </w:tc>
        <w:tc>
          <w:tcPr>
            <w:tcW w:w="791" w:type="dxa"/>
            <w:vMerge w:val="continue"/>
            <w:noWrap w:val="0"/>
            <w:vAlign w:val="center"/>
          </w:tcPr>
          <w:p/>
        </w:tc>
        <w:tc>
          <w:tcPr>
            <w:tcW w:w="2857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cs="宋体"/>
                <w:kern w:val="0"/>
                <w:sz w:val="21"/>
                <w:szCs w:val="21"/>
              </w:rPr>
              <w:t>开展采风、采访、采写、采编等创作活动次数</w:t>
            </w:r>
          </w:p>
        </w:tc>
        <w:tc>
          <w:tcPr>
            <w:tcW w:w="2219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cs="宋体"/>
                <w:kern w:val="0"/>
                <w:sz w:val="21"/>
                <w:szCs w:val="21"/>
              </w:rPr>
              <w:t>反映了创作采风活动的实施情况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cs="宋体"/>
                <w:kern w:val="0"/>
                <w:sz w:val="21"/>
                <w:szCs w:val="21"/>
              </w:rPr>
              <w:t>场</w:t>
            </w:r>
          </w:p>
        </w:tc>
        <w:tc>
          <w:tcPr>
            <w:tcW w:w="90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157" w:type="dxa"/>
            <w:vMerge w:val="continue"/>
            <w:noWrap w:val="0"/>
            <w:vAlign w:val="center"/>
          </w:tcPr>
          <w:p/>
        </w:tc>
        <w:tc>
          <w:tcPr>
            <w:tcW w:w="793" w:type="dxa"/>
            <w:vMerge w:val="continue"/>
            <w:noWrap w:val="0"/>
            <w:vAlign w:val="center"/>
          </w:tcPr>
          <w:p/>
        </w:tc>
        <w:tc>
          <w:tcPr>
            <w:tcW w:w="791" w:type="dxa"/>
            <w:vMerge w:val="continue"/>
            <w:noWrap w:val="0"/>
            <w:vAlign w:val="center"/>
          </w:tcPr>
          <w:p/>
        </w:tc>
        <w:tc>
          <w:tcPr>
            <w:tcW w:w="2857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cs="宋体"/>
                <w:kern w:val="0"/>
                <w:sz w:val="21"/>
                <w:szCs w:val="21"/>
              </w:rPr>
              <w:t>通过采风创作活动形成创作成果</w:t>
            </w:r>
          </w:p>
        </w:tc>
        <w:tc>
          <w:tcPr>
            <w:tcW w:w="2219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cs="宋体"/>
                <w:kern w:val="0"/>
                <w:sz w:val="21"/>
                <w:szCs w:val="21"/>
              </w:rPr>
              <w:t>反映了创作采风活动的精品创作情况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cs="宋体"/>
                <w:kern w:val="0"/>
                <w:sz w:val="21"/>
                <w:szCs w:val="21"/>
              </w:rPr>
              <w:t>件</w:t>
            </w:r>
          </w:p>
        </w:tc>
        <w:tc>
          <w:tcPr>
            <w:tcW w:w="90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57" w:type="dxa"/>
            <w:vMerge w:val="continue"/>
            <w:noWrap w:val="0"/>
            <w:vAlign w:val="center"/>
          </w:tcPr>
          <w:p/>
        </w:tc>
        <w:tc>
          <w:tcPr>
            <w:tcW w:w="793" w:type="dxa"/>
            <w:vMerge w:val="continue"/>
            <w:noWrap w:val="0"/>
            <w:vAlign w:val="center"/>
          </w:tcPr>
          <w:p/>
        </w:tc>
        <w:tc>
          <w:tcPr>
            <w:tcW w:w="791" w:type="dxa"/>
            <w:vMerge w:val="continue"/>
            <w:noWrap w:val="0"/>
            <w:vAlign w:val="center"/>
          </w:tcPr>
          <w:p/>
        </w:tc>
        <w:tc>
          <w:tcPr>
            <w:tcW w:w="2857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cs="宋体"/>
                <w:kern w:val="0"/>
                <w:sz w:val="21"/>
                <w:szCs w:val="21"/>
              </w:rPr>
              <w:t>电视剧、纪录片、广播剧剧本完成大纲创作</w:t>
            </w:r>
          </w:p>
        </w:tc>
        <w:tc>
          <w:tcPr>
            <w:tcW w:w="2219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cs="宋体"/>
                <w:kern w:val="0"/>
                <w:sz w:val="21"/>
                <w:szCs w:val="21"/>
              </w:rPr>
              <w:t>反映了影视剧本创作的总体质量水准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cs="宋体"/>
                <w:kern w:val="0"/>
                <w:sz w:val="21"/>
                <w:szCs w:val="21"/>
              </w:rPr>
              <w:t>%</w:t>
            </w:r>
          </w:p>
        </w:tc>
        <w:tc>
          <w:tcPr>
            <w:tcW w:w="90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57" w:type="dxa"/>
            <w:vMerge w:val="continue"/>
            <w:noWrap w:val="0"/>
            <w:vAlign w:val="center"/>
          </w:tcPr>
          <w:p/>
        </w:tc>
        <w:tc>
          <w:tcPr>
            <w:tcW w:w="793" w:type="dxa"/>
            <w:vMerge w:val="continue"/>
            <w:noWrap w:val="0"/>
            <w:vAlign w:val="center"/>
          </w:tcPr>
          <w:p/>
        </w:tc>
        <w:tc>
          <w:tcPr>
            <w:tcW w:w="791" w:type="dxa"/>
            <w:vMerge w:val="continue"/>
            <w:noWrap w:val="0"/>
            <w:vAlign w:val="center"/>
          </w:tcPr>
          <w:p/>
        </w:tc>
        <w:tc>
          <w:tcPr>
            <w:tcW w:w="2857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cs="宋体"/>
                <w:kern w:val="0"/>
                <w:sz w:val="21"/>
                <w:szCs w:val="21"/>
              </w:rPr>
              <w:t>电视剧、纪录片、广播剧剧本完成进度</w:t>
            </w:r>
          </w:p>
        </w:tc>
        <w:tc>
          <w:tcPr>
            <w:tcW w:w="2219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cs="宋体"/>
                <w:kern w:val="0"/>
                <w:sz w:val="21"/>
                <w:szCs w:val="21"/>
              </w:rPr>
              <w:t>反映了影视剧本创作的实施情况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cs="宋体"/>
                <w:kern w:val="0"/>
                <w:sz w:val="21"/>
                <w:szCs w:val="21"/>
              </w:rPr>
              <w:t>%</w:t>
            </w:r>
          </w:p>
        </w:tc>
        <w:tc>
          <w:tcPr>
            <w:tcW w:w="90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157" w:type="dxa"/>
            <w:vMerge w:val="continue"/>
            <w:noWrap w:val="0"/>
            <w:vAlign w:val="center"/>
          </w:tcPr>
          <w:p/>
        </w:tc>
        <w:tc>
          <w:tcPr>
            <w:tcW w:w="793" w:type="dxa"/>
            <w:vMerge w:val="continue"/>
            <w:noWrap w:val="0"/>
            <w:vAlign w:val="center"/>
          </w:tcPr>
          <w:p/>
        </w:tc>
        <w:tc>
          <w:tcPr>
            <w:tcW w:w="791" w:type="dxa"/>
            <w:vMerge w:val="continue"/>
            <w:noWrap w:val="0"/>
            <w:vAlign w:val="center"/>
          </w:tcPr>
          <w:p/>
        </w:tc>
        <w:tc>
          <w:tcPr>
            <w:tcW w:w="2857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cs="宋体"/>
                <w:kern w:val="0"/>
                <w:sz w:val="21"/>
                <w:szCs w:val="21"/>
              </w:rPr>
              <w:t>美术、书法、摄影、民间文艺完成进度</w:t>
            </w:r>
          </w:p>
        </w:tc>
        <w:tc>
          <w:tcPr>
            <w:tcW w:w="2219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cs="宋体"/>
                <w:kern w:val="0"/>
                <w:sz w:val="21"/>
                <w:szCs w:val="21"/>
              </w:rPr>
              <w:t>反映了美术、书法、摄影、民间文艺创作的实施情况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cs="宋体"/>
                <w:kern w:val="0"/>
                <w:sz w:val="21"/>
                <w:szCs w:val="21"/>
              </w:rPr>
              <w:t>%</w:t>
            </w:r>
          </w:p>
        </w:tc>
        <w:tc>
          <w:tcPr>
            <w:tcW w:w="90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157" w:type="dxa"/>
            <w:vMerge w:val="continue"/>
            <w:noWrap w:val="0"/>
            <w:vAlign w:val="center"/>
          </w:tcPr>
          <w:p/>
        </w:tc>
        <w:tc>
          <w:tcPr>
            <w:tcW w:w="793" w:type="dxa"/>
            <w:vMerge w:val="continue"/>
            <w:noWrap w:val="0"/>
            <w:vAlign w:val="center"/>
          </w:tcPr>
          <w:p/>
        </w:tc>
        <w:tc>
          <w:tcPr>
            <w:tcW w:w="791" w:type="dxa"/>
            <w:vMerge w:val="continue"/>
            <w:noWrap w:val="0"/>
            <w:vAlign w:val="center"/>
          </w:tcPr>
          <w:p/>
        </w:tc>
        <w:tc>
          <w:tcPr>
            <w:tcW w:w="2857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cs="宋体"/>
                <w:kern w:val="0"/>
                <w:sz w:val="21"/>
                <w:szCs w:val="21"/>
              </w:rPr>
              <w:t>文艺展览开展展览活动场次</w:t>
            </w:r>
          </w:p>
        </w:tc>
        <w:tc>
          <w:tcPr>
            <w:tcW w:w="2219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cs="宋体"/>
                <w:kern w:val="0"/>
                <w:sz w:val="21"/>
                <w:szCs w:val="21"/>
              </w:rPr>
              <w:t>反映了文艺展览的实施情况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cs="宋体"/>
                <w:kern w:val="0"/>
                <w:sz w:val="21"/>
                <w:szCs w:val="21"/>
              </w:rPr>
              <w:t>场</w:t>
            </w:r>
          </w:p>
        </w:tc>
        <w:tc>
          <w:tcPr>
            <w:tcW w:w="90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1157" w:type="dxa"/>
            <w:vMerge w:val="continue"/>
            <w:noWrap w:val="0"/>
            <w:vAlign w:val="center"/>
          </w:tcPr>
          <w:p/>
        </w:tc>
        <w:tc>
          <w:tcPr>
            <w:tcW w:w="793" w:type="dxa"/>
            <w:vMerge w:val="continue"/>
            <w:noWrap w:val="0"/>
            <w:vAlign w:val="center"/>
          </w:tcPr>
          <w:p/>
        </w:tc>
        <w:tc>
          <w:tcPr>
            <w:tcW w:w="791" w:type="dxa"/>
            <w:vMerge w:val="continue"/>
            <w:noWrap w:val="0"/>
            <w:vAlign w:val="center"/>
          </w:tcPr>
          <w:p/>
        </w:tc>
        <w:tc>
          <w:tcPr>
            <w:tcW w:w="2857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cs="宋体"/>
                <w:kern w:val="0"/>
                <w:sz w:val="21"/>
                <w:szCs w:val="21"/>
              </w:rPr>
              <w:t>舞台艺术创作完成主创团队搭建、艺术主题设计、舞台技巧训练、舞美设计、舞台呈现、文案宣传等工作，成品时长超1个小时</w:t>
            </w:r>
          </w:p>
        </w:tc>
        <w:tc>
          <w:tcPr>
            <w:tcW w:w="2219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cs="宋体"/>
                <w:kern w:val="0"/>
                <w:sz w:val="21"/>
                <w:szCs w:val="21"/>
              </w:rPr>
              <w:t>反映了舞台艺术创作的实施情况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cs="宋体"/>
                <w:kern w:val="0"/>
                <w:sz w:val="21"/>
                <w:szCs w:val="21"/>
              </w:rPr>
              <w:t>%</w:t>
            </w:r>
          </w:p>
        </w:tc>
        <w:tc>
          <w:tcPr>
            <w:tcW w:w="90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57" w:type="dxa"/>
            <w:vMerge w:val="continue"/>
            <w:noWrap w:val="0"/>
            <w:vAlign w:val="center"/>
          </w:tcPr>
          <w:p/>
        </w:tc>
        <w:tc>
          <w:tcPr>
            <w:tcW w:w="793" w:type="dxa"/>
            <w:vMerge w:val="continue"/>
            <w:noWrap w:val="0"/>
            <w:vAlign w:val="center"/>
          </w:tcPr>
          <w:p/>
        </w:tc>
        <w:tc>
          <w:tcPr>
            <w:tcW w:w="791" w:type="dxa"/>
            <w:vMerge w:val="continue"/>
            <w:noWrap w:val="0"/>
            <w:vAlign w:val="center"/>
          </w:tcPr>
          <w:p/>
        </w:tc>
        <w:tc>
          <w:tcPr>
            <w:tcW w:w="2857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cs="宋体"/>
                <w:kern w:val="0"/>
                <w:sz w:val="21"/>
                <w:szCs w:val="21"/>
              </w:rPr>
              <w:t>舞台艺术展演开展活动场次</w:t>
            </w:r>
          </w:p>
        </w:tc>
        <w:tc>
          <w:tcPr>
            <w:tcW w:w="2219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cs="宋体"/>
                <w:kern w:val="0"/>
                <w:sz w:val="21"/>
                <w:szCs w:val="21"/>
              </w:rPr>
              <w:t>反映了舞台艺术展演活动的实施情况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cs="宋体"/>
                <w:kern w:val="0"/>
                <w:sz w:val="21"/>
                <w:szCs w:val="21"/>
              </w:rPr>
              <w:t>场</w:t>
            </w:r>
          </w:p>
        </w:tc>
        <w:tc>
          <w:tcPr>
            <w:tcW w:w="90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157" w:type="dxa"/>
            <w:vMerge w:val="continue"/>
            <w:noWrap w:val="0"/>
            <w:vAlign w:val="center"/>
          </w:tcPr>
          <w:p/>
        </w:tc>
        <w:tc>
          <w:tcPr>
            <w:tcW w:w="793" w:type="dxa"/>
            <w:vMerge w:val="continue"/>
            <w:noWrap w:val="0"/>
            <w:vAlign w:val="center"/>
          </w:tcPr>
          <w:p/>
        </w:tc>
        <w:tc>
          <w:tcPr>
            <w:tcW w:w="791" w:type="dxa"/>
            <w:vMerge w:val="continue"/>
            <w:noWrap w:val="0"/>
            <w:vAlign w:val="center"/>
          </w:tcPr>
          <w:p/>
        </w:tc>
        <w:tc>
          <w:tcPr>
            <w:tcW w:w="2857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cs="宋体"/>
                <w:kern w:val="0"/>
                <w:sz w:val="21"/>
                <w:szCs w:val="21"/>
              </w:rPr>
              <w:t>音乐歌曲完成词曲创作、音频视频录制等工作。</w:t>
            </w:r>
          </w:p>
        </w:tc>
        <w:tc>
          <w:tcPr>
            <w:tcW w:w="2219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cs="宋体"/>
                <w:kern w:val="0"/>
                <w:sz w:val="21"/>
                <w:szCs w:val="21"/>
              </w:rPr>
              <w:t>反映了音乐歌曲创作的实施情况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cs="宋体"/>
                <w:kern w:val="0"/>
                <w:sz w:val="21"/>
                <w:szCs w:val="21"/>
              </w:rPr>
              <w:t>%</w:t>
            </w:r>
          </w:p>
        </w:tc>
        <w:tc>
          <w:tcPr>
            <w:tcW w:w="90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157" w:type="dxa"/>
            <w:vMerge w:val="continue"/>
            <w:noWrap w:val="0"/>
            <w:vAlign w:val="center"/>
          </w:tcPr>
          <w:p/>
        </w:tc>
        <w:tc>
          <w:tcPr>
            <w:tcW w:w="793" w:type="dxa"/>
            <w:vMerge w:val="continue"/>
            <w:noWrap w:val="0"/>
            <w:vAlign w:val="center"/>
          </w:tcPr>
          <w:p/>
        </w:tc>
        <w:tc>
          <w:tcPr>
            <w:tcW w:w="791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eastAsia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eastAsia="黑体"/>
                <w:color w:val="000000"/>
                <w:sz w:val="21"/>
                <w:szCs w:val="21"/>
              </w:rPr>
              <w:t>质量</w:t>
            </w:r>
          </w:p>
          <w:p>
            <w:pPr>
              <w:spacing w:line="240" w:lineRule="exact"/>
              <w:jc w:val="center"/>
              <w:rPr>
                <w:rFonts w:hint="eastAsia" w:asci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eastAsia="黑体"/>
                <w:color w:val="000000"/>
                <w:sz w:val="21"/>
                <w:szCs w:val="21"/>
              </w:rPr>
              <w:t>指标</w:t>
            </w:r>
          </w:p>
        </w:tc>
        <w:tc>
          <w:tcPr>
            <w:tcW w:w="2857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cs="宋体"/>
                <w:kern w:val="0"/>
                <w:sz w:val="21"/>
                <w:szCs w:val="21"/>
              </w:rPr>
              <w:t>受资助项目相关资讯在各媒体平台的报道数</w:t>
            </w:r>
          </w:p>
        </w:tc>
        <w:tc>
          <w:tcPr>
            <w:tcW w:w="2219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cs="宋体"/>
                <w:kern w:val="0"/>
                <w:sz w:val="21"/>
                <w:szCs w:val="21"/>
              </w:rPr>
              <w:t>反映了受资助项目的社会知晓率情况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cs="宋体"/>
                <w:kern w:val="0"/>
                <w:sz w:val="21"/>
                <w:szCs w:val="21"/>
              </w:rPr>
              <w:t>篇</w:t>
            </w:r>
          </w:p>
        </w:tc>
        <w:tc>
          <w:tcPr>
            <w:tcW w:w="90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157" w:type="dxa"/>
            <w:vMerge w:val="continue"/>
            <w:noWrap w:val="0"/>
            <w:vAlign w:val="center"/>
          </w:tcPr>
          <w:p/>
        </w:tc>
        <w:tc>
          <w:tcPr>
            <w:tcW w:w="793" w:type="dxa"/>
            <w:vMerge w:val="continue"/>
            <w:noWrap w:val="0"/>
            <w:vAlign w:val="center"/>
          </w:tcPr>
          <w:p/>
        </w:tc>
        <w:tc>
          <w:tcPr>
            <w:tcW w:w="791" w:type="dxa"/>
            <w:vMerge w:val="continue"/>
            <w:noWrap w:val="0"/>
            <w:vAlign w:val="center"/>
          </w:tcPr>
          <w:p/>
        </w:tc>
        <w:tc>
          <w:tcPr>
            <w:tcW w:w="2857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cs="宋体"/>
                <w:kern w:val="0"/>
                <w:sz w:val="21"/>
                <w:szCs w:val="21"/>
              </w:rPr>
              <w:t>入选各级各类重要文化工程、展演、赛事等活动</w:t>
            </w:r>
          </w:p>
        </w:tc>
        <w:tc>
          <w:tcPr>
            <w:tcW w:w="2219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cs="宋体"/>
                <w:kern w:val="0"/>
                <w:sz w:val="21"/>
                <w:szCs w:val="21"/>
              </w:rPr>
              <w:t>反映了受资助项目的精品率情况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cs="宋体"/>
                <w:kern w:val="0"/>
                <w:sz w:val="21"/>
                <w:szCs w:val="21"/>
              </w:rPr>
              <w:t>项</w:t>
            </w:r>
          </w:p>
        </w:tc>
        <w:tc>
          <w:tcPr>
            <w:tcW w:w="90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157" w:type="dxa"/>
            <w:vMerge w:val="continue"/>
            <w:noWrap w:val="0"/>
            <w:vAlign w:val="center"/>
          </w:tcPr>
          <w:p/>
        </w:tc>
        <w:tc>
          <w:tcPr>
            <w:tcW w:w="793" w:type="dxa"/>
            <w:vMerge w:val="continue"/>
            <w:noWrap w:val="0"/>
            <w:vAlign w:val="center"/>
          </w:tcPr>
          <w:p/>
        </w:tc>
        <w:tc>
          <w:tcPr>
            <w:tcW w:w="791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eastAsia="黑体"/>
                <w:color w:val="000000"/>
                <w:sz w:val="21"/>
                <w:szCs w:val="21"/>
              </w:rPr>
              <w:t>社会              效益</w:t>
            </w:r>
          </w:p>
        </w:tc>
        <w:tc>
          <w:tcPr>
            <w:tcW w:w="2857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cs="宋体"/>
                <w:kern w:val="0"/>
                <w:sz w:val="21"/>
                <w:szCs w:val="21"/>
              </w:rPr>
              <w:t>出版物能够弘扬社会主义核心价值观，充分展示中华优秀传统文化、当代中国发展进步和当代中国人精彩生活，满足人民群众的精神文化需求</w:t>
            </w:r>
          </w:p>
        </w:tc>
        <w:tc>
          <w:tcPr>
            <w:tcW w:w="2219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cs="宋体"/>
                <w:kern w:val="0"/>
                <w:sz w:val="21"/>
                <w:szCs w:val="21"/>
              </w:rPr>
              <w:t>反映了受资助项目的意识形态情况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cs="宋体"/>
                <w:kern w:val="0"/>
                <w:sz w:val="21"/>
                <w:szCs w:val="21"/>
              </w:rPr>
              <w:t>100%</w:t>
            </w:r>
          </w:p>
        </w:tc>
        <w:tc>
          <w:tcPr>
            <w:tcW w:w="90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1157" w:type="dxa"/>
            <w:vMerge w:val="continue"/>
            <w:noWrap w:val="0"/>
            <w:vAlign w:val="center"/>
          </w:tcPr>
          <w:p/>
        </w:tc>
        <w:tc>
          <w:tcPr>
            <w:tcW w:w="793" w:type="dxa"/>
            <w:vMerge w:val="continue"/>
            <w:noWrap w:val="0"/>
            <w:vAlign w:val="center"/>
          </w:tcPr>
          <w:p/>
        </w:tc>
        <w:tc>
          <w:tcPr>
            <w:tcW w:w="791" w:type="dxa"/>
            <w:vMerge w:val="continue"/>
            <w:noWrap w:val="0"/>
            <w:vAlign w:val="center"/>
          </w:tcPr>
          <w:p/>
        </w:tc>
        <w:tc>
          <w:tcPr>
            <w:tcW w:w="2857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cs="宋体"/>
                <w:kern w:val="0"/>
                <w:sz w:val="21"/>
                <w:szCs w:val="21"/>
              </w:rPr>
              <w:t>电视剧、纪录片、广播剧等作品覆盖受众数（含线上、线下人数）</w:t>
            </w:r>
          </w:p>
        </w:tc>
        <w:tc>
          <w:tcPr>
            <w:tcW w:w="2219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cs="宋体"/>
                <w:kern w:val="0"/>
                <w:sz w:val="21"/>
                <w:szCs w:val="21"/>
              </w:rPr>
              <w:t>反映了影视类受资助项目的受众数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cs="宋体"/>
                <w:kern w:val="0"/>
                <w:sz w:val="21"/>
                <w:szCs w:val="21"/>
              </w:rPr>
              <w:t>万</w:t>
            </w:r>
          </w:p>
        </w:tc>
        <w:tc>
          <w:tcPr>
            <w:tcW w:w="90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57" w:type="dxa"/>
            <w:vMerge w:val="continue"/>
            <w:noWrap w:val="0"/>
            <w:vAlign w:val="center"/>
          </w:tcPr>
          <w:p/>
        </w:tc>
        <w:tc>
          <w:tcPr>
            <w:tcW w:w="793" w:type="dxa"/>
            <w:vMerge w:val="continue"/>
            <w:noWrap w:val="0"/>
            <w:vAlign w:val="center"/>
          </w:tcPr>
          <w:p/>
        </w:tc>
        <w:tc>
          <w:tcPr>
            <w:tcW w:w="791" w:type="dxa"/>
            <w:vMerge w:val="continue"/>
            <w:noWrap w:val="0"/>
            <w:vAlign w:val="center"/>
          </w:tcPr>
          <w:p/>
        </w:tc>
        <w:tc>
          <w:tcPr>
            <w:tcW w:w="2857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cs="宋体"/>
                <w:kern w:val="0"/>
                <w:sz w:val="21"/>
                <w:szCs w:val="21"/>
              </w:rPr>
              <w:t>展演展览等传播类活动现场观看人次</w:t>
            </w:r>
          </w:p>
        </w:tc>
        <w:tc>
          <w:tcPr>
            <w:tcW w:w="2219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cs="宋体"/>
                <w:kern w:val="0"/>
                <w:sz w:val="21"/>
                <w:szCs w:val="21"/>
              </w:rPr>
              <w:t>反映了展演展览等传播类受资助项目的受众数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cs="宋体"/>
                <w:kern w:val="0"/>
                <w:sz w:val="21"/>
                <w:szCs w:val="21"/>
              </w:rPr>
              <w:t>万</w:t>
            </w:r>
          </w:p>
        </w:tc>
        <w:tc>
          <w:tcPr>
            <w:tcW w:w="90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57" w:type="dxa"/>
            <w:vMerge w:val="continue"/>
            <w:noWrap w:val="0"/>
            <w:vAlign w:val="center"/>
          </w:tcPr>
          <w:p/>
        </w:tc>
        <w:tc>
          <w:tcPr>
            <w:tcW w:w="793" w:type="dxa"/>
            <w:vMerge w:val="continue"/>
            <w:noWrap w:val="0"/>
            <w:vAlign w:val="center"/>
          </w:tcPr>
          <w:p/>
        </w:tc>
        <w:tc>
          <w:tcPr>
            <w:tcW w:w="791" w:type="dxa"/>
            <w:vMerge w:val="continue"/>
            <w:noWrap w:val="0"/>
            <w:vAlign w:val="center"/>
          </w:tcPr>
          <w:p/>
        </w:tc>
        <w:tc>
          <w:tcPr>
            <w:tcW w:w="2857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cs="宋体"/>
                <w:kern w:val="0"/>
                <w:sz w:val="21"/>
                <w:szCs w:val="21"/>
              </w:rPr>
              <w:t>受资助项目在主题性文化惠民活动和下基层、进乡村活动中的演出情况</w:t>
            </w:r>
          </w:p>
        </w:tc>
        <w:tc>
          <w:tcPr>
            <w:tcW w:w="2219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cs="宋体"/>
                <w:kern w:val="0"/>
                <w:sz w:val="21"/>
                <w:szCs w:val="21"/>
              </w:rPr>
              <w:t>反映了受资助项目的社会贡献情况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cs="宋体"/>
                <w:kern w:val="0"/>
                <w:sz w:val="21"/>
                <w:szCs w:val="21"/>
              </w:rPr>
              <w:t>场</w:t>
            </w:r>
          </w:p>
        </w:tc>
        <w:tc>
          <w:tcPr>
            <w:tcW w:w="90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9355" w:type="dxa"/>
            <w:gridSpan w:val="8"/>
            <w:noWrap w:val="0"/>
            <w:vAlign w:val="center"/>
          </w:tcPr>
          <w:p>
            <w:pPr>
              <w:widowControl/>
              <w:spacing w:line="240" w:lineRule="exact"/>
              <w:rPr>
                <w:rFonts w:hint="eastAsia" w:ascii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cs="宋体"/>
                <w:kern w:val="0"/>
                <w:sz w:val="21"/>
                <w:szCs w:val="21"/>
              </w:rPr>
              <w:t>注：指标解释是对绩效目标三级指标进行解释说明，包括设置依据、内涵解释、计算方法、评分标准等。以上指标只需填写申报项目类别有关条目。</w:t>
            </w:r>
          </w:p>
        </w:tc>
      </w:tr>
    </w:tbl>
    <w:p>
      <w:pPr>
        <w:spacing w:line="620" w:lineRule="exact"/>
        <w:jc w:val="center"/>
        <w:rPr>
          <w:rFonts w:hint="eastAsia"/>
          <w:szCs w:val="32"/>
        </w:rPr>
      </w:pPr>
    </w:p>
    <w:p>
      <w:pPr>
        <w:spacing w:line="620" w:lineRule="exact"/>
        <w:jc w:val="center"/>
        <w:rPr>
          <w:szCs w:val="32"/>
        </w:rPr>
      </w:pPr>
    </w:p>
    <w:p>
      <w:pPr>
        <w:spacing w:line="620" w:lineRule="exact"/>
        <w:jc w:val="center"/>
        <w:rPr>
          <w:szCs w:val="32"/>
        </w:rPr>
      </w:pPr>
    </w:p>
    <w:p>
      <w:pPr>
        <w:spacing w:line="620" w:lineRule="exact"/>
        <w:jc w:val="center"/>
        <w:rPr>
          <w:szCs w:val="32"/>
        </w:rPr>
      </w:pPr>
    </w:p>
    <w:p>
      <w:pPr>
        <w:spacing w:line="620" w:lineRule="exact"/>
        <w:jc w:val="center"/>
        <w:rPr>
          <w:szCs w:val="32"/>
        </w:rPr>
      </w:pPr>
    </w:p>
    <w:p>
      <w:pPr>
        <w:spacing w:line="620" w:lineRule="exact"/>
        <w:jc w:val="center"/>
        <w:rPr>
          <w:szCs w:val="32"/>
        </w:rPr>
      </w:pPr>
    </w:p>
    <w:p>
      <w:pPr>
        <w:spacing w:line="620" w:lineRule="exact"/>
        <w:jc w:val="center"/>
        <w:rPr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3ZmNlYTJlY2MzZjI4NjBkZmFhMGZiMWE5ZDJkM2MifQ=="/>
  </w:docVars>
  <w:rsids>
    <w:rsidRoot w:val="759D6A15"/>
    <w:rsid w:val="759D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2022-09-29T07:47:00Z</dcterms:created>
  <dc:creator>大魚 </dc:creator>
  <cp:lastModifiedBy>大魚 </cp:lastModifiedBy>
  <dcterms:modified xsi:type="dcterms:W3CDTF">2022-09-29T07:47:43Z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BBF30F56B5D84ED999DE2672C0BCD293</vt:lpwstr>
  </property>
</Properties>
</file>